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color w:val="000000"/>
          <w:kern w:val="0"/>
          <w:sz w:val="32"/>
          <w:szCs w:val="32"/>
        </w:rPr>
      </w:pPr>
      <w:r>
        <w:rPr>
          <w:rFonts w:eastAsia="黑体"/>
          <w:color w:val="000000"/>
          <w:kern w:val="0"/>
          <w:sz w:val="32"/>
          <w:szCs w:val="32"/>
        </w:rPr>
        <w:t>附件</w:t>
      </w:r>
      <w:r>
        <w:rPr>
          <w:rFonts w:hint="eastAsia" w:eastAsia="黑体"/>
          <w:color w:val="000000"/>
          <w:kern w:val="0"/>
          <w:sz w:val="32"/>
          <w:szCs w:val="32"/>
        </w:rPr>
        <w:t>3</w:t>
      </w:r>
    </w:p>
    <w:p>
      <w:pPr>
        <w:spacing w:line="560" w:lineRule="exact"/>
        <w:rPr>
          <w:rFonts w:eastAsia="仿宋_GB2312"/>
          <w:color w:val="000000"/>
          <w:kern w:val="0"/>
          <w:sz w:val="32"/>
          <w:szCs w:val="32"/>
        </w:rPr>
      </w:pPr>
    </w:p>
    <w:p>
      <w:pPr>
        <w:spacing w:line="560" w:lineRule="exact"/>
        <w:jc w:val="center"/>
        <w:rPr>
          <w:rFonts w:eastAsia="方正小标宋简体"/>
          <w:sz w:val="44"/>
          <w:szCs w:val="44"/>
        </w:rPr>
      </w:pPr>
      <w:r>
        <w:rPr>
          <w:rFonts w:eastAsia="方正小标宋简体"/>
          <w:sz w:val="44"/>
          <w:szCs w:val="44"/>
        </w:rPr>
        <w:t>消防安全重点单位界定标准</w:t>
      </w:r>
    </w:p>
    <w:p>
      <w:pPr>
        <w:spacing w:line="560" w:lineRule="exact"/>
        <w:jc w:val="center"/>
        <w:rPr>
          <w:rFonts w:eastAsia="楷体_GB2312"/>
          <w:sz w:val="32"/>
          <w:szCs w:val="32"/>
        </w:rPr>
      </w:pPr>
    </w:p>
    <w:p>
      <w:pPr>
        <w:spacing w:line="560" w:lineRule="exact"/>
        <w:ind w:firstLine="640"/>
        <w:rPr>
          <w:rFonts w:eastAsia="黑体"/>
          <w:sz w:val="32"/>
          <w:szCs w:val="32"/>
        </w:rPr>
      </w:pPr>
      <w:r>
        <w:rPr>
          <w:rFonts w:eastAsia="黑体"/>
          <w:sz w:val="32"/>
          <w:szCs w:val="32"/>
        </w:rPr>
        <w:t>一、商场（市场）、宾馆（饭店）、体育场（馆）、会堂、公共娱乐场所等公众聚集场所</w:t>
      </w:r>
    </w:p>
    <w:p>
      <w:pPr>
        <w:spacing w:line="560" w:lineRule="exact"/>
        <w:ind w:firstLine="640"/>
        <w:rPr>
          <w:rFonts w:eastAsia="仿宋_GB2312"/>
          <w:sz w:val="32"/>
          <w:szCs w:val="32"/>
        </w:rPr>
      </w:pPr>
      <w:r>
        <w:rPr>
          <w:rFonts w:eastAsia="仿宋_GB2312"/>
          <w:sz w:val="32"/>
          <w:szCs w:val="32"/>
        </w:rPr>
        <w:t>（一）建筑面积在1000平方米以上且经营可燃商品的商场（商店、市场）；</w:t>
      </w:r>
    </w:p>
    <w:p>
      <w:pPr>
        <w:spacing w:line="560" w:lineRule="exact"/>
        <w:ind w:firstLine="640"/>
        <w:rPr>
          <w:rFonts w:eastAsia="仿宋_GB2312"/>
          <w:sz w:val="32"/>
          <w:szCs w:val="32"/>
        </w:rPr>
      </w:pPr>
      <w:r>
        <w:rPr>
          <w:rFonts w:eastAsia="仿宋_GB2312"/>
          <w:sz w:val="32"/>
          <w:szCs w:val="32"/>
        </w:rPr>
        <w:t>（二）客房数在50间以上的宾馆（旅馆、饭店）；</w:t>
      </w:r>
    </w:p>
    <w:p>
      <w:pPr>
        <w:spacing w:line="560" w:lineRule="exact"/>
        <w:ind w:firstLine="640"/>
        <w:rPr>
          <w:rFonts w:eastAsia="仿宋_GB2312"/>
          <w:sz w:val="32"/>
          <w:szCs w:val="32"/>
        </w:rPr>
      </w:pPr>
      <w:r>
        <w:rPr>
          <w:rFonts w:eastAsia="仿宋_GB2312"/>
          <w:sz w:val="32"/>
          <w:szCs w:val="32"/>
        </w:rPr>
        <w:t>（三）就餐位在100座或建筑面积1000平方米以上餐饮场所（含住宿）；</w:t>
      </w:r>
    </w:p>
    <w:p>
      <w:pPr>
        <w:spacing w:line="560" w:lineRule="exact"/>
        <w:ind w:firstLine="640"/>
        <w:rPr>
          <w:rFonts w:eastAsia="仿宋_GB2312"/>
          <w:sz w:val="32"/>
          <w:szCs w:val="32"/>
        </w:rPr>
      </w:pPr>
      <w:r>
        <w:rPr>
          <w:rFonts w:eastAsia="仿宋_GB2312"/>
          <w:sz w:val="32"/>
          <w:szCs w:val="32"/>
        </w:rPr>
        <w:t>（四）公共的体育场（馆）、会堂；</w:t>
      </w:r>
    </w:p>
    <w:p>
      <w:pPr>
        <w:spacing w:line="560" w:lineRule="exact"/>
        <w:ind w:firstLine="640"/>
        <w:rPr>
          <w:rFonts w:eastAsia="仿宋_GB2312"/>
          <w:sz w:val="32"/>
          <w:szCs w:val="32"/>
        </w:rPr>
      </w:pPr>
      <w:r>
        <w:rPr>
          <w:rFonts w:eastAsia="仿宋_GB2312"/>
          <w:sz w:val="32"/>
          <w:szCs w:val="32"/>
        </w:rPr>
        <w:t>（五）建筑面积在200平方米以上的歌舞娱乐放映游艺场所：</w:t>
      </w:r>
    </w:p>
    <w:p>
      <w:pPr>
        <w:spacing w:line="560" w:lineRule="exact"/>
        <w:ind w:firstLine="640"/>
        <w:rPr>
          <w:rFonts w:eastAsia="仿宋_GB2312"/>
          <w:sz w:val="32"/>
          <w:szCs w:val="32"/>
        </w:rPr>
      </w:pPr>
      <w:r>
        <w:rPr>
          <w:rFonts w:eastAsia="仿宋_GB2312"/>
          <w:sz w:val="32"/>
          <w:szCs w:val="32"/>
        </w:rPr>
        <w:t>1、影剧院、录像厅、礼堂等演出、放映场所；</w:t>
      </w:r>
    </w:p>
    <w:p>
      <w:pPr>
        <w:spacing w:line="560" w:lineRule="exact"/>
        <w:ind w:firstLine="640"/>
        <w:rPr>
          <w:rFonts w:eastAsia="仿宋_GB2312"/>
          <w:sz w:val="32"/>
          <w:szCs w:val="32"/>
        </w:rPr>
      </w:pPr>
      <w:r>
        <w:rPr>
          <w:rFonts w:eastAsia="仿宋_GB2312"/>
          <w:sz w:val="32"/>
          <w:szCs w:val="32"/>
        </w:rPr>
        <w:t>2、舞厅、卡拉OK厅等歌舞娱乐场所；</w:t>
      </w:r>
    </w:p>
    <w:p>
      <w:pPr>
        <w:spacing w:line="560" w:lineRule="exact"/>
        <w:ind w:firstLine="640"/>
        <w:rPr>
          <w:rFonts w:eastAsia="仿宋_GB2312"/>
          <w:sz w:val="32"/>
          <w:szCs w:val="32"/>
        </w:rPr>
      </w:pPr>
      <w:r>
        <w:rPr>
          <w:rFonts w:eastAsia="仿宋_GB2312"/>
          <w:sz w:val="32"/>
          <w:szCs w:val="32"/>
        </w:rPr>
        <w:t>3、具有娱乐功能的夜总会、音乐茶座；</w:t>
      </w:r>
    </w:p>
    <w:p>
      <w:pPr>
        <w:spacing w:line="560" w:lineRule="exact"/>
        <w:ind w:firstLine="640"/>
        <w:rPr>
          <w:rFonts w:eastAsia="仿宋_GB2312"/>
          <w:sz w:val="32"/>
          <w:szCs w:val="32"/>
        </w:rPr>
      </w:pPr>
      <w:r>
        <w:rPr>
          <w:rFonts w:eastAsia="仿宋_GB2312"/>
          <w:sz w:val="32"/>
          <w:szCs w:val="32"/>
        </w:rPr>
        <w:t>4、游艺、网吧、游乐场所；</w:t>
      </w:r>
    </w:p>
    <w:p>
      <w:pPr>
        <w:spacing w:line="560" w:lineRule="exact"/>
        <w:ind w:firstLine="640"/>
        <w:rPr>
          <w:rFonts w:eastAsia="仿宋_GB2312"/>
          <w:sz w:val="32"/>
          <w:szCs w:val="32"/>
        </w:rPr>
      </w:pPr>
      <w:r>
        <w:rPr>
          <w:rFonts w:eastAsia="仿宋_GB2312"/>
          <w:sz w:val="32"/>
          <w:szCs w:val="32"/>
        </w:rPr>
        <w:t>5、保龄球馆、旱冰场、桑拿浴室等营业性健身休闲场所；</w:t>
      </w:r>
    </w:p>
    <w:p>
      <w:pPr>
        <w:spacing w:line="560" w:lineRule="exact"/>
        <w:ind w:firstLine="640"/>
        <w:rPr>
          <w:rFonts w:eastAsia="仿宋_GB2312"/>
          <w:sz w:val="32"/>
          <w:szCs w:val="32"/>
        </w:rPr>
      </w:pPr>
      <w:r>
        <w:rPr>
          <w:rFonts w:eastAsia="仿宋_GB2312"/>
          <w:sz w:val="32"/>
          <w:szCs w:val="32"/>
        </w:rPr>
        <w:t>（六）设置在（半）地下建筑内的公众聚集场所。</w:t>
      </w:r>
    </w:p>
    <w:p>
      <w:pPr>
        <w:spacing w:line="560" w:lineRule="exact"/>
        <w:ind w:firstLine="640"/>
        <w:rPr>
          <w:rFonts w:eastAsia="黑体"/>
          <w:sz w:val="32"/>
          <w:szCs w:val="32"/>
        </w:rPr>
      </w:pPr>
      <w:r>
        <w:rPr>
          <w:rFonts w:eastAsia="黑体"/>
          <w:sz w:val="32"/>
          <w:szCs w:val="32"/>
        </w:rPr>
        <w:t>二、医院、养老院和寄宿制的学校、托儿所、幼儿园</w:t>
      </w:r>
    </w:p>
    <w:p>
      <w:pPr>
        <w:spacing w:line="560" w:lineRule="exact"/>
        <w:ind w:firstLine="640"/>
        <w:rPr>
          <w:rFonts w:eastAsia="仿宋_GB2312"/>
          <w:sz w:val="32"/>
          <w:szCs w:val="32"/>
        </w:rPr>
      </w:pPr>
      <w:r>
        <w:rPr>
          <w:rFonts w:eastAsia="仿宋_GB2312"/>
          <w:sz w:val="32"/>
          <w:szCs w:val="32"/>
        </w:rPr>
        <w:t>（一）住院床位在50张以上的医院；</w:t>
      </w:r>
    </w:p>
    <w:p>
      <w:pPr>
        <w:spacing w:line="560" w:lineRule="exact"/>
        <w:ind w:firstLine="640"/>
        <w:rPr>
          <w:rFonts w:eastAsia="仿宋_GB2312"/>
          <w:sz w:val="32"/>
          <w:szCs w:val="32"/>
        </w:rPr>
      </w:pPr>
      <w:r>
        <w:rPr>
          <w:rFonts w:eastAsia="仿宋_GB2312"/>
          <w:sz w:val="32"/>
          <w:szCs w:val="32"/>
        </w:rPr>
        <w:t>（二）住宿床位在50张以上的养老院（福利院、敬老院、老年公寓等）；</w:t>
      </w:r>
    </w:p>
    <w:p>
      <w:pPr>
        <w:spacing w:line="560" w:lineRule="exact"/>
        <w:ind w:firstLine="640"/>
        <w:rPr>
          <w:rFonts w:eastAsia="仿宋_GB2312"/>
          <w:sz w:val="32"/>
          <w:szCs w:val="32"/>
        </w:rPr>
      </w:pPr>
      <w:r>
        <w:rPr>
          <w:rFonts w:eastAsia="仿宋_GB2312"/>
          <w:sz w:val="32"/>
          <w:szCs w:val="32"/>
        </w:rPr>
        <w:t>（三）学生住宿床位在100张以上的寄宿制学校或师生人数在500人以上的非寄宿制学校；</w:t>
      </w:r>
    </w:p>
    <w:p>
      <w:pPr>
        <w:spacing w:line="560" w:lineRule="exact"/>
        <w:ind w:firstLine="640"/>
        <w:rPr>
          <w:rFonts w:eastAsia="仿宋_GB2312"/>
          <w:sz w:val="32"/>
          <w:szCs w:val="32"/>
        </w:rPr>
      </w:pPr>
      <w:r>
        <w:rPr>
          <w:rFonts w:eastAsia="仿宋_GB2312"/>
          <w:sz w:val="32"/>
          <w:szCs w:val="32"/>
        </w:rPr>
        <w:t>（四）幼儿住宿床位在50张以上的托儿所、幼儿园。</w:t>
      </w:r>
    </w:p>
    <w:p>
      <w:pPr>
        <w:spacing w:line="560" w:lineRule="exact"/>
        <w:ind w:firstLine="640"/>
        <w:rPr>
          <w:rFonts w:eastAsia="黑体"/>
          <w:sz w:val="32"/>
          <w:szCs w:val="32"/>
        </w:rPr>
      </w:pPr>
      <w:r>
        <w:rPr>
          <w:rFonts w:eastAsia="黑体"/>
          <w:sz w:val="32"/>
          <w:szCs w:val="32"/>
        </w:rPr>
        <w:t>三、国家机关、团体，公共服务机构</w:t>
      </w:r>
    </w:p>
    <w:p>
      <w:pPr>
        <w:spacing w:line="560" w:lineRule="exact"/>
        <w:ind w:firstLine="640"/>
        <w:rPr>
          <w:rFonts w:eastAsia="仿宋_GB2312"/>
          <w:sz w:val="32"/>
          <w:szCs w:val="32"/>
        </w:rPr>
      </w:pPr>
      <w:r>
        <w:rPr>
          <w:rFonts w:eastAsia="仿宋_GB2312"/>
          <w:sz w:val="32"/>
          <w:szCs w:val="32"/>
        </w:rPr>
        <w:t>（一）县级以上的党委、人大、政府、政协；</w:t>
      </w:r>
    </w:p>
    <w:p>
      <w:pPr>
        <w:spacing w:line="560" w:lineRule="exact"/>
        <w:ind w:firstLine="640"/>
        <w:rPr>
          <w:rFonts w:eastAsia="仿宋_GB2312"/>
          <w:sz w:val="32"/>
          <w:szCs w:val="32"/>
        </w:rPr>
      </w:pPr>
      <w:r>
        <w:rPr>
          <w:rFonts w:eastAsia="仿宋_GB2312"/>
          <w:sz w:val="32"/>
          <w:szCs w:val="32"/>
        </w:rPr>
        <w:t>（二）人民检察院、人民法院；</w:t>
      </w:r>
    </w:p>
    <w:p>
      <w:pPr>
        <w:spacing w:line="560" w:lineRule="exact"/>
        <w:ind w:firstLine="640"/>
        <w:rPr>
          <w:rFonts w:eastAsia="仿宋_GB2312"/>
          <w:sz w:val="32"/>
          <w:szCs w:val="32"/>
        </w:rPr>
      </w:pPr>
      <w:r>
        <w:rPr>
          <w:rFonts w:eastAsia="仿宋_GB2312"/>
          <w:sz w:val="32"/>
          <w:szCs w:val="32"/>
        </w:rPr>
        <w:t>（三）县以上党委和政府各部门；</w:t>
      </w:r>
    </w:p>
    <w:p>
      <w:pPr>
        <w:spacing w:line="560" w:lineRule="exact"/>
        <w:ind w:firstLine="640"/>
        <w:rPr>
          <w:rFonts w:eastAsia="仿宋_GB2312"/>
          <w:sz w:val="32"/>
          <w:szCs w:val="32"/>
        </w:rPr>
      </w:pPr>
      <w:r>
        <w:rPr>
          <w:rFonts w:eastAsia="仿宋_GB2312"/>
          <w:sz w:val="32"/>
          <w:szCs w:val="32"/>
        </w:rPr>
        <w:t>（四）共青团、总工会、妇联的办事机关；</w:t>
      </w:r>
    </w:p>
    <w:p>
      <w:pPr>
        <w:spacing w:line="560" w:lineRule="exact"/>
        <w:ind w:firstLine="640"/>
        <w:rPr>
          <w:rFonts w:eastAsia="仿宋_GB2312"/>
          <w:sz w:val="32"/>
          <w:szCs w:val="32"/>
        </w:rPr>
      </w:pPr>
      <w:r>
        <w:rPr>
          <w:rFonts w:eastAsia="仿宋_GB2312"/>
          <w:sz w:val="32"/>
          <w:szCs w:val="32"/>
        </w:rPr>
        <w:t>（五）</w:t>
      </w:r>
      <w:r>
        <w:rPr>
          <w:rFonts w:eastAsia="仿宋_GB2312"/>
          <w:kern w:val="0"/>
          <w:sz w:val="32"/>
          <w:szCs w:val="32"/>
        </w:rPr>
        <w:t>供水、供气、供暖等关系民生保障的机构。</w:t>
      </w:r>
    </w:p>
    <w:p>
      <w:pPr>
        <w:spacing w:line="560" w:lineRule="exact"/>
        <w:ind w:firstLine="640"/>
        <w:rPr>
          <w:rFonts w:eastAsia="黑体"/>
          <w:sz w:val="32"/>
          <w:szCs w:val="32"/>
        </w:rPr>
      </w:pPr>
      <w:r>
        <w:rPr>
          <w:rFonts w:eastAsia="黑体"/>
          <w:sz w:val="32"/>
          <w:szCs w:val="32"/>
        </w:rPr>
        <w:t>四、广播、电视和邮政、通信枢纽</w:t>
      </w:r>
    </w:p>
    <w:p>
      <w:pPr>
        <w:spacing w:line="560" w:lineRule="exact"/>
        <w:ind w:firstLine="640"/>
        <w:rPr>
          <w:rFonts w:eastAsia="仿宋_GB2312"/>
          <w:sz w:val="32"/>
          <w:szCs w:val="32"/>
        </w:rPr>
      </w:pPr>
      <w:r>
        <w:rPr>
          <w:rFonts w:eastAsia="仿宋_GB2312"/>
          <w:sz w:val="32"/>
          <w:szCs w:val="32"/>
        </w:rPr>
        <w:t>（一）</w:t>
      </w:r>
      <w:r>
        <w:rPr>
          <w:rFonts w:eastAsia="仿宋_GB2312"/>
          <w:kern w:val="0"/>
          <w:sz w:val="32"/>
          <w:szCs w:val="32"/>
        </w:rPr>
        <w:t>广播、电影、电视、报社、网络等新闻媒介单位；</w:t>
      </w:r>
    </w:p>
    <w:p>
      <w:pPr>
        <w:spacing w:line="560" w:lineRule="exact"/>
        <w:ind w:firstLine="640"/>
        <w:rPr>
          <w:rFonts w:eastAsia="仿宋_GB2312"/>
          <w:sz w:val="32"/>
          <w:szCs w:val="32"/>
        </w:rPr>
      </w:pPr>
      <w:r>
        <w:rPr>
          <w:rFonts w:eastAsia="仿宋_GB2312"/>
          <w:sz w:val="32"/>
          <w:szCs w:val="32"/>
        </w:rPr>
        <w:t>（二）城镇的邮政、通信枢纽单位。</w:t>
      </w:r>
    </w:p>
    <w:p>
      <w:pPr>
        <w:spacing w:line="560" w:lineRule="exact"/>
        <w:ind w:firstLine="640"/>
        <w:rPr>
          <w:rFonts w:eastAsia="黑体"/>
          <w:sz w:val="32"/>
          <w:szCs w:val="32"/>
        </w:rPr>
      </w:pPr>
      <w:r>
        <w:rPr>
          <w:rFonts w:eastAsia="黑体"/>
          <w:sz w:val="32"/>
          <w:szCs w:val="32"/>
        </w:rPr>
        <w:t>五、客运车站、码头、民用机场</w:t>
      </w:r>
    </w:p>
    <w:p>
      <w:pPr>
        <w:spacing w:line="560" w:lineRule="exact"/>
        <w:ind w:firstLine="640"/>
        <w:rPr>
          <w:rFonts w:eastAsia="仿宋_GB2312"/>
          <w:sz w:val="32"/>
          <w:szCs w:val="32"/>
        </w:rPr>
      </w:pPr>
      <w:r>
        <w:rPr>
          <w:rFonts w:eastAsia="仿宋_GB2312"/>
          <w:sz w:val="32"/>
          <w:szCs w:val="32"/>
        </w:rPr>
        <w:t xml:space="preserve">（一）设有候车厅、候船厅的客运车站和码头（武汉建筑面积在500平方米以上）； </w:t>
      </w:r>
    </w:p>
    <w:p>
      <w:pPr>
        <w:spacing w:line="560" w:lineRule="exact"/>
        <w:ind w:firstLine="640"/>
        <w:rPr>
          <w:rFonts w:eastAsia="仿宋_GB2312"/>
          <w:sz w:val="32"/>
          <w:szCs w:val="32"/>
        </w:rPr>
      </w:pPr>
      <w:r>
        <w:rPr>
          <w:rFonts w:eastAsia="仿宋_GB2312"/>
          <w:sz w:val="32"/>
          <w:szCs w:val="32"/>
        </w:rPr>
        <w:t>（二）民用机场。</w:t>
      </w:r>
    </w:p>
    <w:p>
      <w:pPr>
        <w:spacing w:line="560" w:lineRule="exact"/>
        <w:ind w:firstLine="640"/>
        <w:rPr>
          <w:rFonts w:eastAsia="黑体"/>
          <w:sz w:val="32"/>
          <w:szCs w:val="32"/>
        </w:rPr>
      </w:pPr>
      <w:r>
        <w:rPr>
          <w:rFonts w:eastAsia="黑体"/>
          <w:sz w:val="32"/>
          <w:szCs w:val="32"/>
        </w:rPr>
        <w:t>六、公共图书馆、展览馆、博物馆、档案馆以及具有火灾危险性的文物保护单位</w:t>
      </w:r>
    </w:p>
    <w:p>
      <w:pPr>
        <w:spacing w:line="560" w:lineRule="exact"/>
        <w:ind w:firstLine="640"/>
        <w:rPr>
          <w:rFonts w:eastAsia="仿宋_GB2312"/>
          <w:sz w:val="32"/>
          <w:szCs w:val="32"/>
        </w:rPr>
      </w:pPr>
      <w:r>
        <w:rPr>
          <w:rFonts w:eastAsia="仿宋_GB2312"/>
          <w:sz w:val="32"/>
          <w:szCs w:val="32"/>
        </w:rPr>
        <w:t xml:space="preserve">（一）建筑面积在1000平方米（武汉2000平方米）以上的公共图书馆、群艺馆、文化馆、展览馆； </w:t>
      </w:r>
    </w:p>
    <w:p>
      <w:pPr>
        <w:spacing w:line="560" w:lineRule="exact"/>
        <w:ind w:firstLine="640"/>
        <w:rPr>
          <w:rFonts w:eastAsia="仿宋_GB2312"/>
          <w:sz w:val="32"/>
          <w:szCs w:val="32"/>
        </w:rPr>
      </w:pPr>
      <w:r>
        <w:rPr>
          <w:rFonts w:eastAsia="仿宋_GB2312"/>
          <w:sz w:val="32"/>
          <w:szCs w:val="32"/>
        </w:rPr>
        <w:t>（二）公共博物馆、档案馆；</w:t>
      </w:r>
    </w:p>
    <w:p>
      <w:pPr>
        <w:spacing w:line="560" w:lineRule="exact"/>
        <w:ind w:firstLine="640"/>
        <w:rPr>
          <w:rFonts w:eastAsia="仿宋_GB2312"/>
          <w:sz w:val="32"/>
          <w:szCs w:val="32"/>
        </w:rPr>
      </w:pPr>
      <w:r>
        <w:rPr>
          <w:rFonts w:eastAsia="仿宋_GB2312"/>
          <w:sz w:val="32"/>
          <w:szCs w:val="32"/>
        </w:rPr>
        <w:t>（三）具有火灾危险性的县级以上文物保护单位。</w:t>
      </w:r>
    </w:p>
    <w:p>
      <w:pPr>
        <w:spacing w:line="560" w:lineRule="exact"/>
        <w:ind w:firstLine="640"/>
        <w:rPr>
          <w:rFonts w:eastAsia="黑体"/>
          <w:sz w:val="32"/>
          <w:szCs w:val="32"/>
        </w:rPr>
      </w:pPr>
      <w:r>
        <w:rPr>
          <w:rFonts w:eastAsia="黑体"/>
          <w:sz w:val="32"/>
          <w:szCs w:val="32"/>
        </w:rPr>
        <w:t>七、发电厂（站）和电网经营企业</w:t>
      </w:r>
    </w:p>
    <w:p>
      <w:pPr>
        <w:spacing w:line="560" w:lineRule="exact"/>
        <w:ind w:firstLine="640"/>
        <w:rPr>
          <w:rFonts w:eastAsia="黑体"/>
          <w:sz w:val="32"/>
          <w:szCs w:val="32"/>
        </w:rPr>
      </w:pPr>
      <w:r>
        <w:rPr>
          <w:rFonts w:eastAsia="黑体"/>
          <w:sz w:val="32"/>
          <w:szCs w:val="32"/>
        </w:rPr>
        <w:t>八、易燃易爆化学物品的生产、充装、储存、供应、销售单位</w:t>
      </w:r>
    </w:p>
    <w:p>
      <w:pPr>
        <w:spacing w:line="560" w:lineRule="exact"/>
        <w:ind w:firstLine="640"/>
        <w:rPr>
          <w:rFonts w:eastAsia="仿宋_GB2312"/>
          <w:sz w:val="32"/>
          <w:szCs w:val="32"/>
        </w:rPr>
      </w:pPr>
      <w:r>
        <w:rPr>
          <w:rFonts w:eastAsia="仿宋_GB2312"/>
          <w:sz w:val="32"/>
          <w:szCs w:val="32"/>
        </w:rPr>
        <w:t>（一）生产易燃易爆化学物品的工厂；</w:t>
      </w:r>
    </w:p>
    <w:p>
      <w:pPr>
        <w:spacing w:line="560" w:lineRule="exact"/>
        <w:ind w:firstLine="640"/>
        <w:rPr>
          <w:rFonts w:eastAsia="仿宋_GB2312"/>
          <w:sz w:val="32"/>
          <w:szCs w:val="32"/>
        </w:rPr>
      </w:pPr>
      <w:r>
        <w:rPr>
          <w:rFonts w:eastAsia="仿宋_GB2312"/>
          <w:sz w:val="32"/>
          <w:szCs w:val="32"/>
        </w:rPr>
        <w:t>（二）易燃易爆气体和液体的灌装站、调压站；</w:t>
      </w:r>
    </w:p>
    <w:p>
      <w:pPr>
        <w:spacing w:line="560" w:lineRule="exact"/>
        <w:ind w:firstLine="640"/>
        <w:rPr>
          <w:rFonts w:eastAsia="仿宋_GB2312"/>
          <w:sz w:val="32"/>
          <w:szCs w:val="32"/>
        </w:rPr>
      </w:pPr>
      <w:r>
        <w:rPr>
          <w:rFonts w:eastAsia="仿宋_GB2312"/>
          <w:sz w:val="32"/>
          <w:szCs w:val="32"/>
        </w:rPr>
        <w:t>（三）储存易燃易爆化学物品的专用仓库（堆场、储罐场所）；</w:t>
      </w:r>
    </w:p>
    <w:p>
      <w:pPr>
        <w:spacing w:line="560" w:lineRule="exact"/>
        <w:ind w:firstLine="640"/>
        <w:rPr>
          <w:rFonts w:eastAsia="仿宋_GB2312"/>
          <w:sz w:val="32"/>
          <w:szCs w:val="32"/>
        </w:rPr>
      </w:pPr>
      <w:r>
        <w:rPr>
          <w:rFonts w:eastAsia="仿宋_GB2312"/>
          <w:sz w:val="32"/>
          <w:szCs w:val="32"/>
        </w:rPr>
        <w:t>（四）营业性汽车加油、加气站、液化石油气供应站（换瓶站）；</w:t>
      </w:r>
    </w:p>
    <w:p>
      <w:pPr>
        <w:spacing w:line="560" w:lineRule="exact"/>
        <w:ind w:firstLine="640"/>
        <w:rPr>
          <w:rFonts w:eastAsia="仿宋_GB2312"/>
          <w:sz w:val="32"/>
          <w:szCs w:val="32"/>
        </w:rPr>
      </w:pPr>
      <w:r>
        <w:rPr>
          <w:rFonts w:eastAsia="仿宋_GB2312"/>
          <w:sz w:val="32"/>
          <w:szCs w:val="32"/>
        </w:rPr>
        <w:t>（五）经营易燃易爆化学物品（甲、乙类）且建筑面积在200平方米以上或存放总量在200千克以上的商店。</w:t>
      </w:r>
    </w:p>
    <w:p>
      <w:pPr>
        <w:spacing w:line="560" w:lineRule="exact"/>
        <w:ind w:firstLine="640"/>
        <w:rPr>
          <w:rFonts w:eastAsia="黑体"/>
          <w:sz w:val="32"/>
          <w:szCs w:val="32"/>
        </w:rPr>
      </w:pPr>
      <w:r>
        <w:rPr>
          <w:rFonts w:eastAsia="黑体"/>
          <w:sz w:val="32"/>
          <w:szCs w:val="32"/>
        </w:rPr>
        <w:t>九、生产、加工企业</w:t>
      </w:r>
    </w:p>
    <w:p>
      <w:pPr>
        <w:spacing w:line="560" w:lineRule="exact"/>
        <w:ind w:firstLine="640"/>
        <w:rPr>
          <w:rFonts w:eastAsia="仿宋_GB2312"/>
          <w:sz w:val="32"/>
          <w:szCs w:val="32"/>
        </w:rPr>
      </w:pPr>
      <w:r>
        <w:rPr>
          <w:rFonts w:eastAsia="仿宋_GB2312"/>
          <w:sz w:val="32"/>
          <w:szCs w:val="32"/>
        </w:rPr>
        <w:t>（一）生产车间员工在100人以上的服装、鞋帽、玩具等劳动密集型企业；</w:t>
      </w:r>
    </w:p>
    <w:p>
      <w:pPr>
        <w:spacing w:line="560" w:lineRule="exact"/>
        <w:ind w:firstLine="640"/>
        <w:rPr>
          <w:rFonts w:eastAsia="仿宋_GB2312"/>
          <w:sz w:val="32"/>
          <w:szCs w:val="32"/>
        </w:rPr>
      </w:pPr>
      <w:r>
        <w:rPr>
          <w:rFonts w:eastAsia="仿宋_GB2312"/>
          <w:sz w:val="32"/>
          <w:szCs w:val="32"/>
        </w:rPr>
        <w:t>（二）总建筑面积在2000平方米（武汉5000平方米）以上的洁净厂房、电子厂房；</w:t>
      </w:r>
    </w:p>
    <w:p>
      <w:pPr>
        <w:spacing w:line="560" w:lineRule="exact"/>
        <w:ind w:firstLine="640"/>
        <w:rPr>
          <w:rFonts w:eastAsia="仿宋_GB2312"/>
          <w:b/>
          <w:bCs/>
          <w:sz w:val="32"/>
          <w:szCs w:val="32"/>
        </w:rPr>
      </w:pPr>
      <w:r>
        <w:rPr>
          <w:rFonts w:eastAsia="仿宋_GB2312"/>
          <w:sz w:val="32"/>
          <w:szCs w:val="32"/>
        </w:rPr>
        <w:t>（三）总建筑面积在2000平方米（武汉10000平方米）以上的丙类厂房。</w:t>
      </w:r>
    </w:p>
    <w:p>
      <w:pPr>
        <w:spacing w:line="560" w:lineRule="exact"/>
        <w:ind w:firstLine="640"/>
        <w:rPr>
          <w:rFonts w:eastAsia="黑体"/>
          <w:sz w:val="32"/>
          <w:szCs w:val="32"/>
        </w:rPr>
      </w:pPr>
      <w:r>
        <w:rPr>
          <w:rFonts w:eastAsia="黑体"/>
          <w:sz w:val="32"/>
          <w:szCs w:val="32"/>
        </w:rPr>
        <w:t>十、重要的科研单位</w:t>
      </w:r>
    </w:p>
    <w:p>
      <w:pPr>
        <w:spacing w:line="560" w:lineRule="exact"/>
        <w:ind w:firstLine="640"/>
        <w:rPr>
          <w:rFonts w:eastAsia="仿宋_GB2312"/>
          <w:sz w:val="32"/>
          <w:szCs w:val="32"/>
        </w:rPr>
      </w:pPr>
      <w:r>
        <w:rPr>
          <w:rFonts w:eastAsia="仿宋_GB2312"/>
          <w:sz w:val="32"/>
          <w:szCs w:val="32"/>
        </w:rPr>
        <w:t>（一）地市级以上科研单位；</w:t>
      </w:r>
    </w:p>
    <w:p>
      <w:pPr>
        <w:spacing w:line="560" w:lineRule="exact"/>
        <w:ind w:firstLine="640"/>
        <w:rPr>
          <w:rFonts w:eastAsia="仿宋_GB2312"/>
          <w:sz w:val="32"/>
          <w:szCs w:val="32"/>
        </w:rPr>
      </w:pPr>
      <w:r>
        <w:rPr>
          <w:rFonts w:eastAsia="仿宋_GB2312"/>
          <w:sz w:val="32"/>
          <w:szCs w:val="32"/>
        </w:rPr>
        <w:t>（二）负责国家重点科研项目的科研单位；</w:t>
      </w:r>
    </w:p>
    <w:p>
      <w:pPr>
        <w:spacing w:line="560" w:lineRule="exact"/>
        <w:ind w:firstLine="640"/>
        <w:rPr>
          <w:rFonts w:eastAsia="仿宋_GB2312"/>
          <w:sz w:val="32"/>
          <w:szCs w:val="32"/>
        </w:rPr>
      </w:pPr>
      <w:r>
        <w:rPr>
          <w:rFonts w:eastAsia="仿宋_GB2312"/>
          <w:sz w:val="32"/>
          <w:szCs w:val="32"/>
        </w:rPr>
        <w:t>（三）设备价值超过1000万以上的科研单位；</w:t>
      </w:r>
    </w:p>
    <w:p>
      <w:pPr>
        <w:spacing w:line="560" w:lineRule="exact"/>
        <w:ind w:firstLine="640"/>
        <w:rPr>
          <w:rFonts w:eastAsia="仿宋_GB2312"/>
          <w:sz w:val="32"/>
          <w:szCs w:val="32"/>
        </w:rPr>
      </w:pPr>
      <w:r>
        <w:rPr>
          <w:rFonts w:eastAsia="仿宋_GB2312"/>
          <w:sz w:val="32"/>
          <w:szCs w:val="32"/>
        </w:rPr>
        <w:t>（四）科研实验中储存使用易燃易爆化学物品（甲、乙类），具有较大火灾爆炸危险的科研单位。</w:t>
      </w:r>
    </w:p>
    <w:p>
      <w:pPr>
        <w:spacing w:line="560" w:lineRule="exact"/>
        <w:ind w:firstLine="640"/>
        <w:rPr>
          <w:rFonts w:eastAsia="黑体"/>
          <w:sz w:val="32"/>
          <w:szCs w:val="32"/>
        </w:rPr>
      </w:pPr>
      <w:r>
        <w:rPr>
          <w:rFonts w:eastAsia="黑体"/>
          <w:sz w:val="32"/>
          <w:szCs w:val="32"/>
        </w:rPr>
        <w:t>十一、高层公共建筑、地下铁道、地下观光隧道、粮、棉、油脂、木材、百货等物质仓库和堆场，重点工程的施工现场</w:t>
      </w:r>
    </w:p>
    <w:p>
      <w:pPr>
        <w:spacing w:line="560" w:lineRule="exact"/>
        <w:ind w:firstLine="640"/>
        <w:rPr>
          <w:rFonts w:eastAsia="仿宋_GB2312"/>
          <w:sz w:val="32"/>
          <w:szCs w:val="32"/>
        </w:rPr>
      </w:pPr>
      <w:r>
        <w:rPr>
          <w:rFonts w:eastAsia="仿宋_GB2312"/>
          <w:sz w:val="32"/>
          <w:szCs w:val="32"/>
        </w:rPr>
        <w:t>（一）高层公共建筑的办公楼（写字楼）、公寓楼等；</w:t>
      </w:r>
    </w:p>
    <w:p>
      <w:pPr>
        <w:spacing w:line="560" w:lineRule="exact"/>
        <w:ind w:firstLine="640"/>
        <w:rPr>
          <w:rFonts w:eastAsia="仿宋_GB2312"/>
          <w:sz w:val="32"/>
          <w:szCs w:val="32"/>
        </w:rPr>
      </w:pPr>
      <w:r>
        <w:rPr>
          <w:rFonts w:eastAsia="仿宋_GB2312"/>
          <w:sz w:val="32"/>
          <w:szCs w:val="32"/>
        </w:rPr>
        <w:t>（二）城市地下铁道、地下观光隧道等地下公共建筑和城市重要的交通隧道；</w:t>
      </w:r>
    </w:p>
    <w:p>
      <w:pPr>
        <w:spacing w:line="560" w:lineRule="exact"/>
        <w:ind w:firstLine="640"/>
        <w:rPr>
          <w:rFonts w:eastAsia="仿宋_GB2312"/>
          <w:sz w:val="32"/>
          <w:szCs w:val="32"/>
        </w:rPr>
      </w:pPr>
      <w:r>
        <w:rPr>
          <w:rFonts w:eastAsia="仿宋_GB2312"/>
          <w:sz w:val="32"/>
          <w:szCs w:val="32"/>
        </w:rPr>
        <w:t>（三）国家储备粮库、总储量在10000吨以上的其他粮库；</w:t>
      </w:r>
    </w:p>
    <w:p>
      <w:pPr>
        <w:spacing w:line="560" w:lineRule="exact"/>
        <w:ind w:firstLine="640"/>
        <w:rPr>
          <w:rFonts w:eastAsia="仿宋_GB2312"/>
          <w:sz w:val="32"/>
          <w:szCs w:val="32"/>
        </w:rPr>
      </w:pPr>
      <w:r>
        <w:rPr>
          <w:rFonts w:eastAsia="仿宋_GB2312"/>
          <w:sz w:val="32"/>
          <w:szCs w:val="32"/>
        </w:rPr>
        <w:t>（四）总储量在500吨以上的棉库；</w:t>
      </w:r>
    </w:p>
    <w:p>
      <w:pPr>
        <w:spacing w:line="560" w:lineRule="exact"/>
        <w:ind w:firstLine="640"/>
        <w:rPr>
          <w:rFonts w:eastAsia="仿宋_GB2312"/>
          <w:sz w:val="32"/>
          <w:szCs w:val="32"/>
        </w:rPr>
      </w:pPr>
      <w:r>
        <w:rPr>
          <w:rFonts w:eastAsia="仿宋_GB2312"/>
          <w:sz w:val="32"/>
          <w:szCs w:val="32"/>
        </w:rPr>
        <w:t>（五）总储量在10000立方米以上的木材堆场；</w:t>
      </w:r>
    </w:p>
    <w:p>
      <w:pPr>
        <w:spacing w:line="560" w:lineRule="exact"/>
        <w:ind w:firstLine="640"/>
        <w:rPr>
          <w:rFonts w:eastAsia="仿宋_GB2312"/>
          <w:sz w:val="32"/>
          <w:szCs w:val="32"/>
        </w:rPr>
      </w:pPr>
      <w:r>
        <w:rPr>
          <w:rFonts w:eastAsia="仿宋_GB2312"/>
          <w:sz w:val="32"/>
          <w:szCs w:val="32"/>
        </w:rPr>
        <w:t>（六）总储存价值在1000万元以上或建筑面积在2000平方米（武汉4000平方米）以上的可燃物品储存（仓库、堆场）单位、场所；</w:t>
      </w:r>
    </w:p>
    <w:p>
      <w:pPr>
        <w:spacing w:line="560" w:lineRule="exact"/>
        <w:ind w:firstLine="640"/>
        <w:rPr>
          <w:rFonts w:eastAsia="仿宋_GB2312"/>
          <w:sz w:val="32"/>
          <w:szCs w:val="32"/>
        </w:rPr>
      </w:pPr>
      <w:r>
        <w:rPr>
          <w:rFonts w:eastAsia="仿宋_GB2312"/>
          <w:sz w:val="32"/>
          <w:szCs w:val="32"/>
        </w:rPr>
        <w:t>（七）总建筑面积在30000平方米以上的其他物品生产销售、仓库、堆场、中转库(站)、物流仓库等场所；</w:t>
      </w:r>
    </w:p>
    <w:p>
      <w:pPr>
        <w:spacing w:line="560" w:lineRule="exact"/>
        <w:ind w:firstLine="640"/>
        <w:rPr>
          <w:rFonts w:eastAsia="仿宋_GB2312"/>
          <w:sz w:val="32"/>
          <w:szCs w:val="32"/>
        </w:rPr>
      </w:pPr>
      <w:r>
        <w:rPr>
          <w:rFonts w:eastAsia="仿宋_GB2312"/>
          <w:sz w:val="32"/>
          <w:szCs w:val="32"/>
        </w:rPr>
        <w:t>（八）国家和省级等重点工程的施工现场。</w:t>
      </w:r>
    </w:p>
    <w:p>
      <w:pPr>
        <w:spacing w:line="560" w:lineRule="exact"/>
        <w:ind w:firstLine="640"/>
        <w:rPr>
          <w:rFonts w:eastAsia="黑体"/>
          <w:sz w:val="32"/>
          <w:szCs w:val="32"/>
        </w:rPr>
      </w:pPr>
      <w:r>
        <w:rPr>
          <w:rFonts w:eastAsia="黑体"/>
          <w:sz w:val="32"/>
          <w:szCs w:val="32"/>
        </w:rPr>
        <w:t>十二、其他发生火灾可能性较大以及一旦发生火灾可能造成人身重大伤亡或者财产重大损失的单位</w:t>
      </w:r>
    </w:p>
    <w:p>
      <w:pPr>
        <w:spacing w:line="560" w:lineRule="exact"/>
        <w:ind w:firstLine="640"/>
        <w:rPr>
          <w:rFonts w:eastAsia="仿宋_GB2312"/>
          <w:sz w:val="32"/>
          <w:szCs w:val="32"/>
        </w:rPr>
      </w:pPr>
      <w:r>
        <w:rPr>
          <w:rFonts w:eastAsia="仿宋_GB2312"/>
          <w:sz w:val="32"/>
          <w:szCs w:val="32"/>
        </w:rPr>
        <w:t>（一）</w:t>
      </w:r>
      <w:r>
        <w:rPr>
          <w:rFonts w:eastAsia="仿宋_GB2312"/>
          <w:spacing w:val="13"/>
          <w:sz w:val="32"/>
          <w:szCs w:val="32"/>
        </w:rPr>
        <w:t>年主营业务收入2000万元以上的</w:t>
      </w:r>
      <w:r>
        <w:rPr>
          <w:rFonts w:eastAsia="仿宋_GB2312"/>
          <w:sz w:val="32"/>
          <w:szCs w:val="32"/>
        </w:rPr>
        <w:t>电子、汽车、钢铁、造船、烟草、航天、造纸或固定资产价值在1亿元以上的企业；</w:t>
      </w:r>
    </w:p>
    <w:p>
      <w:pPr>
        <w:spacing w:line="560" w:lineRule="exact"/>
        <w:ind w:firstLine="640"/>
        <w:rPr>
          <w:rFonts w:eastAsia="仿宋_GB2312"/>
          <w:sz w:val="32"/>
          <w:szCs w:val="32"/>
        </w:rPr>
      </w:pPr>
      <w:r>
        <w:rPr>
          <w:rFonts w:eastAsia="仿宋_GB2312"/>
          <w:sz w:val="32"/>
          <w:szCs w:val="32"/>
        </w:rPr>
        <w:t>（二）营业厅在500平方米以上的金融、证券、期货交易所；</w:t>
      </w:r>
    </w:p>
    <w:p>
      <w:pPr>
        <w:autoSpaceDE w:val="0"/>
        <w:autoSpaceDN w:val="0"/>
        <w:spacing w:line="560" w:lineRule="exact"/>
        <w:ind w:firstLine="640" w:firstLineChars="200"/>
        <w:rPr>
          <w:rFonts w:eastAsia="仿宋_GB2312"/>
          <w:kern w:val="0"/>
          <w:sz w:val="32"/>
          <w:szCs w:val="32"/>
        </w:rPr>
      </w:pPr>
      <w:r>
        <w:rPr>
          <w:rFonts w:eastAsia="仿宋_GB2312"/>
          <w:kern w:val="0"/>
          <w:sz w:val="32"/>
          <w:szCs w:val="32"/>
        </w:rPr>
        <w:t>（三）设有一级修车库或三级以上的汽车库、停车场的经营管理单位；</w:t>
      </w:r>
    </w:p>
    <w:p>
      <w:pPr>
        <w:autoSpaceDE w:val="0"/>
        <w:autoSpaceDN w:val="0"/>
        <w:spacing w:line="560" w:lineRule="exact"/>
        <w:ind w:firstLine="640" w:firstLineChars="200"/>
        <w:rPr>
          <w:rFonts w:eastAsia="仿宋_GB2312"/>
          <w:kern w:val="0"/>
          <w:sz w:val="32"/>
          <w:szCs w:val="32"/>
        </w:rPr>
      </w:pPr>
      <w:r>
        <w:rPr>
          <w:rFonts w:eastAsia="仿宋_GB2312"/>
          <w:kern w:val="0"/>
          <w:sz w:val="32"/>
          <w:szCs w:val="32"/>
        </w:rPr>
        <w:t>（四）3A级以上旅游景区；</w:t>
      </w:r>
    </w:p>
    <w:p>
      <w:pPr>
        <w:autoSpaceDE w:val="0"/>
        <w:autoSpaceDN w:val="0"/>
        <w:spacing w:line="560" w:lineRule="exact"/>
        <w:ind w:firstLine="640" w:firstLineChars="200"/>
        <w:rPr>
          <w:rFonts w:eastAsia="仿宋_GB2312"/>
          <w:kern w:val="0"/>
          <w:sz w:val="32"/>
          <w:szCs w:val="32"/>
        </w:rPr>
      </w:pPr>
      <w:r>
        <w:rPr>
          <w:rFonts w:eastAsia="仿宋_GB2312"/>
          <w:kern w:val="0"/>
          <w:sz w:val="32"/>
          <w:szCs w:val="32"/>
        </w:rPr>
        <w:t>（五）其他具有较大火灾危险性或发生火灾后可能造成重大危害的单位。</w:t>
      </w:r>
    </w:p>
    <w:p>
      <w:pPr>
        <w:spacing w:line="560" w:lineRule="exact"/>
        <w:rPr>
          <w:rFonts w:eastAsia="仿宋_GB2312"/>
          <w:sz w:val="32"/>
          <w:szCs w:val="32"/>
        </w:rPr>
      </w:pPr>
      <w:r>
        <w:rPr>
          <w:rFonts w:eastAsia="仿宋_GB2312"/>
          <w:sz w:val="32"/>
          <w:szCs w:val="32"/>
        </w:rPr>
        <w:t xml:space="preserve">    符合前款规定标准且也符合《湖北省公安派出所消防监督检查规定》（鄂公发〔2010〕2号）“十小场所”规定的场所，列入消防安全重点单位范畴，由消防部门监管；不符合前款规定标准且也不符合《湖北省公安派出所消防监督检查规定》（鄂公发〔2010〕2号）“十小场所”规定的场所，列入公安派出所“十小场所”抽查范畴。</w:t>
      </w:r>
    </w:p>
    <w:p>
      <w:pPr>
        <w:spacing w:line="560" w:lineRule="exact"/>
        <w:ind w:firstLine="640" w:firstLineChars="200"/>
        <w:rPr>
          <w:rFonts w:eastAsia="仿宋_GB2312"/>
          <w:sz w:val="32"/>
          <w:szCs w:val="32"/>
        </w:rPr>
      </w:pPr>
      <w:r>
        <w:rPr>
          <w:rFonts w:eastAsia="仿宋_GB2312"/>
          <w:sz w:val="32"/>
          <w:szCs w:val="32"/>
        </w:rPr>
        <w:t>注：以上所称“以上”含本数。</w:t>
      </w:r>
    </w:p>
    <w:p>
      <w:pPr>
        <w:widowControl/>
        <w:shd w:val="clear" w:color="auto" w:fill="FFFFFF"/>
        <w:spacing w:line="560" w:lineRule="exact"/>
        <w:jc w:val="center"/>
        <w:rPr>
          <w:rFonts w:eastAsia="方正小标宋简体"/>
          <w:color w:val="000000"/>
          <w:kern w:val="0"/>
          <w:sz w:val="44"/>
          <w:szCs w:val="44"/>
        </w:rPr>
      </w:pPr>
    </w:p>
    <w:p>
      <w:pPr>
        <w:widowControl/>
        <w:shd w:val="clear" w:color="auto" w:fill="FFFFFF"/>
        <w:spacing w:line="560" w:lineRule="exact"/>
        <w:jc w:val="center"/>
        <w:rPr>
          <w:rFonts w:eastAsia="方正小标宋简体"/>
          <w:color w:val="000000"/>
          <w:kern w:val="0"/>
          <w:sz w:val="44"/>
          <w:szCs w:val="44"/>
        </w:rPr>
      </w:pPr>
    </w:p>
    <w:p>
      <w:pPr>
        <w:widowControl/>
        <w:shd w:val="clear" w:color="auto" w:fill="FFFFFF"/>
        <w:spacing w:line="560" w:lineRule="exact"/>
        <w:jc w:val="center"/>
        <w:rPr>
          <w:rFonts w:eastAsia="方正小标宋简体"/>
          <w:color w:val="000000"/>
          <w:kern w:val="0"/>
          <w:sz w:val="44"/>
          <w:szCs w:val="44"/>
        </w:rPr>
      </w:pPr>
    </w:p>
    <w:p>
      <w:pPr>
        <w:widowControl/>
        <w:shd w:val="clear" w:color="auto" w:fill="FFFFFF"/>
        <w:spacing w:line="560" w:lineRule="exact"/>
        <w:jc w:val="center"/>
        <w:rPr>
          <w:rFonts w:eastAsia="方正小标宋简体"/>
          <w:color w:val="000000"/>
          <w:kern w:val="0"/>
          <w:sz w:val="44"/>
          <w:szCs w:val="44"/>
        </w:rPr>
      </w:pPr>
    </w:p>
    <w:p>
      <w:pPr>
        <w:widowControl/>
        <w:shd w:val="clear" w:color="auto" w:fill="FFFFFF"/>
        <w:spacing w:line="560" w:lineRule="exact"/>
        <w:jc w:val="center"/>
        <w:rPr>
          <w:rFonts w:eastAsia="方正小标宋简体"/>
          <w:color w:val="000000"/>
          <w:kern w:val="0"/>
          <w:sz w:val="44"/>
          <w:szCs w:val="44"/>
        </w:rPr>
      </w:pPr>
    </w:p>
    <w:p>
      <w:pPr>
        <w:widowControl/>
        <w:shd w:val="clear" w:color="auto" w:fill="FFFFFF"/>
        <w:spacing w:line="560" w:lineRule="exact"/>
        <w:jc w:val="center"/>
        <w:rPr>
          <w:rFonts w:eastAsia="方正小标宋简体"/>
          <w:color w:val="000000"/>
          <w:kern w:val="0"/>
          <w:sz w:val="44"/>
          <w:szCs w:val="44"/>
        </w:rPr>
      </w:pPr>
    </w:p>
    <w:p>
      <w:pPr>
        <w:rPr>
          <w:rFonts w:eastAsia="仿宋_GB2312"/>
          <w:bCs/>
          <w:sz w:val="32"/>
          <w:szCs w:val="32"/>
        </w:rPr>
      </w:pPr>
    </w:p>
    <w:p>
      <w:pPr>
        <w:pStyle w:val="2"/>
        <w:sectPr>
          <w:headerReference r:id="rId3" w:type="default"/>
          <w:footerReference r:id="rId4" w:type="default"/>
          <w:footerReference r:id="rId5" w:type="even"/>
          <w:pgSz w:w="11906" w:h="16838"/>
          <w:pgMar w:top="2098" w:right="1474" w:bottom="1984" w:left="1587" w:header="851" w:footer="992" w:gutter="0"/>
          <w:pgNumType w:fmt="numberInDash"/>
          <w:cols w:space="720" w:num="1"/>
          <w:docGrid w:type="lines" w:linePitch="312" w:charSpace="0"/>
        </w:sectPr>
      </w:pPr>
      <w:bookmarkStart w:id="0" w:name="_GoBack"/>
      <w:bookmarkEnd w:id="0"/>
    </w:p>
    <w:p>
      <w:pPr>
        <w:pStyle w:val="2"/>
        <w:spacing w:line="560" w:lineRule="exact"/>
        <w:jc w:val="left"/>
        <w:rPr>
          <w:rFonts w:ascii="仿宋_GB2312" w:eastAsia="仿宋_GB2312"/>
          <w:kern w:val="0"/>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102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Fonts w:eastAsia="宋体"/>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84E2C"/>
    <w:rsid w:val="000022A9"/>
    <w:rsid w:val="00065328"/>
    <w:rsid w:val="00082118"/>
    <w:rsid w:val="0009723A"/>
    <w:rsid w:val="000B03CD"/>
    <w:rsid w:val="001E64CA"/>
    <w:rsid w:val="002021C7"/>
    <w:rsid w:val="00247F2A"/>
    <w:rsid w:val="002B5C83"/>
    <w:rsid w:val="00316E92"/>
    <w:rsid w:val="00384E2C"/>
    <w:rsid w:val="003E151C"/>
    <w:rsid w:val="00453A72"/>
    <w:rsid w:val="00467F4A"/>
    <w:rsid w:val="005261F0"/>
    <w:rsid w:val="005D63CC"/>
    <w:rsid w:val="006559D0"/>
    <w:rsid w:val="006836E8"/>
    <w:rsid w:val="00697D16"/>
    <w:rsid w:val="006C5590"/>
    <w:rsid w:val="00790FE9"/>
    <w:rsid w:val="007C2F32"/>
    <w:rsid w:val="007D09A6"/>
    <w:rsid w:val="009A21E1"/>
    <w:rsid w:val="009A3F5C"/>
    <w:rsid w:val="009D4761"/>
    <w:rsid w:val="00A53E7E"/>
    <w:rsid w:val="00AE4608"/>
    <w:rsid w:val="00BA0436"/>
    <w:rsid w:val="00C42D0F"/>
    <w:rsid w:val="00C55CBB"/>
    <w:rsid w:val="00CC1784"/>
    <w:rsid w:val="00D068E9"/>
    <w:rsid w:val="00D34EE6"/>
    <w:rsid w:val="00EC59F7"/>
    <w:rsid w:val="00F3197E"/>
    <w:rsid w:val="6C4D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nhideWhenUsed/>
    <w:qFormat/>
    <w:uiPriority w:val="99"/>
    <w:pPr>
      <w:spacing w:after="120"/>
    </w:pPr>
  </w:style>
  <w:style w:type="paragraph" w:styleId="3">
    <w:name w:val="Date"/>
    <w:basedOn w:val="1"/>
    <w:next w:val="1"/>
    <w:link w:val="14"/>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styleId="9">
    <w:name w:val="Hyperlink"/>
    <w:basedOn w:val="7"/>
    <w:semiHidden/>
    <w:unhideWhenUsed/>
    <w:uiPriority w:val="99"/>
    <w:rPr>
      <w:color w:val="000000"/>
      <w:sz w:val="12"/>
      <w:szCs w:val="12"/>
      <w:u w:val="non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styleId="12">
    <w:name w:val="List Paragraph"/>
    <w:basedOn w:val="1"/>
    <w:qFormat/>
    <w:uiPriority w:val="34"/>
    <w:pPr>
      <w:ind w:firstLine="420" w:firstLineChars="200"/>
    </w:pPr>
    <w:rPr>
      <w:rFonts w:asciiTheme="minorHAnsi" w:hAnsiTheme="minorHAnsi" w:eastAsiaTheme="minorEastAsia" w:cstheme="minorBidi"/>
    </w:rPr>
  </w:style>
  <w:style w:type="character" w:customStyle="1" w:styleId="13">
    <w:name w:val="正文文本 Char"/>
    <w:basedOn w:val="7"/>
    <w:link w:val="2"/>
    <w:qFormat/>
    <w:uiPriority w:val="99"/>
    <w:rPr>
      <w:rFonts w:ascii="Times New Roman" w:hAnsi="Times New Roman" w:eastAsia="宋体" w:cs="Times New Roman"/>
    </w:rPr>
  </w:style>
  <w:style w:type="character" w:customStyle="1" w:styleId="14">
    <w:name w:val="日期 Char"/>
    <w:basedOn w:val="7"/>
    <w:link w:val="3"/>
    <w:semiHidden/>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B4088C-0FA4-412B-B5CF-2FC8234B4F8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1003</Words>
  <Characters>5720</Characters>
  <Lines>47</Lines>
  <Paragraphs>13</Paragraphs>
  <TotalTime>129</TotalTime>
  <ScaleCrop>false</ScaleCrop>
  <LinksUpToDate>false</LinksUpToDate>
  <CharactersWithSpaces>6710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2021-01-29T03:47:00Z</dcterms:created>
  <dc:creator>Administrator</dc:creator>
  <cp:lastModifiedBy>兰雅</cp:lastModifiedBy>
  <dcterms:modified xsi:type="dcterms:W3CDTF">2021-02-10T01:39:16Z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